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A2" w:rsidRPr="009F2DFB" w:rsidRDefault="009F2DFB" w:rsidP="009F2DFB">
      <w:pPr>
        <w:pStyle w:val="Default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9F2DFB">
        <w:rPr>
          <w:rFonts w:ascii="Verdana" w:hAnsi="Verdana"/>
          <w:b/>
          <w:bCs/>
          <w:sz w:val="18"/>
          <w:szCs w:val="18"/>
        </w:rPr>
        <w:t>The Sea Fish (Specified Sea Areas) (Regulation</w:t>
      </w:r>
      <w:r w:rsidRPr="009F2DFB">
        <w:rPr>
          <w:rFonts w:ascii="Verdana" w:hAnsi="Verdana"/>
          <w:b/>
          <w:bCs/>
          <w:sz w:val="18"/>
          <w:szCs w:val="18"/>
        </w:rPr>
        <w:t xml:space="preserve"> </w:t>
      </w:r>
      <w:r w:rsidRPr="009F2DFB">
        <w:rPr>
          <w:rFonts w:ascii="Verdana" w:hAnsi="Verdana"/>
          <w:b/>
          <w:bCs/>
          <w:sz w:val="18"/>
          <w:szCs w:val="18"/>
        </w:rPr>
        <w:t>of Nets and Other Fishing Gear) Order 2001</w:t>
      </w:r>
    </w:p>
    <w:p w:rsidR="009F2DFB" w:rsidRDefault="009F2DFB" w:rsidP="009F2DFB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32DCA" w:rsidRDefault="00932DCA" w:rsidP="009F2DF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9F2DFB" w:rsidRPr="008A27A2" w:rsidRDefault="009F2DFB" w:rsidP="009F2DFB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8A27A2" w:rsidRPr="008A27A2" w:rsidRDefault="008A27A2" w:rsidP="009F2DF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8A27A2">
        <w:rPr>
          <w:rFonts w:ascii="Verdana" w:hAnsi="Verdana"/>
          <w:b/>
          <w:bCs/>
          <w:sz w:val="18"/>
          <w:szCs w:val="18"/>
        </w:rPr>
        <w:t xml:space="preserve">Application and Exemptions </w:t>
      </w:r>
    </w:p>
    <w:p w:rsidR="008A27A2" w:rsidRPr="008A27A2" w:rsidRDefault="008A27A2" w:rsidP="009F2DF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8A27A2">
        <w:rPr>
          <w:rFonts w:ascii="Verdana" w:hAnsi="Verdana"/>
          <w:b/>
          <w:bCs/>
          <w:sz w:val="18"/>
          <w:szCs w:val="18"/>
        </w:rPr>
        <w:t>3.</w:t>
      </w:r>
      <w:r w:rsidR="009F2DFB">
        <w:rPr>
          <w:rFonts w:ascii="Verdana" w:hAnsi="Verdana"/>
          <w:b/>
          <w:bCs/>
          <w:sz w:val="18"/>
          <w:szCs w:val="18"/>
        </w:rPr>
        <w:t xml:space="preserve"> </w:t>
      </w:r>
      <w:r w:rsidRPr="008A27A2">
        <w:rPr>
          <w:rFonts w:ascii="Verdana" w:hAnsi="Verdana"/>
          <w:sz w:val="18"/>
          <w:szCs w:val="18"/>
        </w:rPr>
        <w:t xml:space="preserve">(1) Subject to paragraph </w:t>
      </w:r>
      <w:r w:rsidRPr="004E1E0D">
        <w:rPr>
          <w:rFonts w:ascii="Verdana" w:hAnsi="Verdana"/>
          <w:color w:val="FF0000"/>
          <w:sz w:val="18"/>
          <w:szCs w:val="18"/>
        </w:rPr>
        <w:t xml:space="preserve">(3), </w:t>
      </w:r>
      <w:r w:rsidRPr="008A27A2">
        <w:rPr>
          <w:rFonts w:ascii="Verdana" w:hAnsi="Verdana"/>
          <w:sz w:val="18"/>
          <w:szCs w:val="18"/>
        </w:rPr>
        <w:t xml:space="preserve">articles 4 and 6 apply to any net carried in, or used by, any relevant British fishing boat in ICES </w:t>
      </w:r>
      <w:proofErr w:type="spellStart"/>
      <w:r w:rsidRPr="008A27A2">
        <w:rPr>
          <w:rFonts w:ascii="Verdana" w:hAnsi="Verdana"/>
          <w:sz w:val="18"/>
          <w:szCs w:val="18"/>
        </w:rPr>
        <w:t>IIa</w:t>
      </w:r>
      <w:proofErr w:type="spellEnd"/>
      <w:r w:rsidRPr="008A27A2">
        <w:rPr>
          <w:rFonts w:ascii="Verdana" w:hAnsi="Verdana"/>
          <w:sz w:val="18"/>
          <w:szCs w:val="18"/>
        </w:rPr>
        <w:t xml:space="preserve"> south of 64° north latitude and east of 4° west longitude (Norwegian Sea), ICES IV (North Sea) or ICES VI (</w:t>
      </w:r>
      <w:proofErr w:type="spellStart"/>
      <w:r w:rsidRPr="008A27A2">
        <w:rPr>
          <w:rFonts w:ascii="Verdana" w:hAnsi="Verdana"/>
          <w:sz w:val="18"/>
          <w:szCs w:val="18"/>
        </w:rPr>
        <w:t>Rockall</w:t>
      </w:r>
      <w:proofErr w:type="spellEnd"/>
      <w:r w:rsidRPr="008A27A2">
        <w:rPr>
          <w:rFonts w:ascii="Verdana" w:hAnsi="Verdana"/>
          <w:sz w:val="18"/>
          <w:szCs w:val="18"/>
        </w:rPr>
        <w:t xml:space="preserve"> and West of Scotland). </w:t>
      </w:r>
    </w:p>
    <w:p w:rsidR="008A27A2" w:rsidRPr="008A27A2" w:rsidRDefault="008A27A2" w:rsidP="009F2DFB">
      <w:pPr>
        <w:spacing w:after="0" w:line="276" w:lineRule="auto"/>
        <w:rPr>
          <w:rFonts w:ascii="Verdana" w:hAnsi="Verdana" w:cs="Times New Roman"/>
          <w:color w:val="000000"/>
          <w:sz w:val="18"/>
          <w:szCs w:val="18"/>
          <w:lang w:val="en-US"/>
        </w:rPr>
      </w:pPr>
    </w:p>
    <w:p w:rsidR="008A27A2" w:rsidRPr="008A27A2" w:rsidRDefault="008A27A2" w:rsidP="009F2DFB">
      <w:pPr>
        <w:spacing w:after="0" w:line="276" w:lineRule="auto"/>
        <w:rPr>
          <w:rFonts w:ascii="Verdana" w:hAnsi="Verdana" w:cs="Times New Roman"/>
          <w:color w:val="000000"/>
          <w:sz w:val="18"/>
          <w:szCs w:val="18"/>
          <w:lang w:val="en-US"/>
        </w:rPr>
      </w:pPr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 xml:space="preserve">(1A) Subject to paragraph </w:t>
      </w:r>
      <w:r w:rsidRPr="004E1E0D">
        <w:rPr>
          <w:rFonts w:ascii="Verdana" w:hAnsi="Verdana" w:cs="Times New Roman"/>
          <w:color w:val="FF0000"/>
          <w:sz w:val="18"/>
          <w:szCs w:val="18"/>
          <w:lang w:val="en-US"/>
        </w:rPr>
        <w:t>(3)</w:t>
      </w:r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>, article 4 applies to any net carried in, or used by, any foreign fishing boat in waters that are—</w:t>
      </w:r>
      <w:bookmarkStart w:id="0" w:name="_GoBack"/>
      <w:bookmarkEnd w:id="0"/>
    </w:p>
    <w:p w:rsidR="008A27A2" w:rsidRPr="008A27A2" w:rsidRDefault="008A27A2" w:rsidP="009F2DFB">
      <w:pPr>
        <w:spacing w:after="0" w:line="276" w:lineRule="auto"/>
        <w:rPr>
          <w:rFonts w:ascii="Verdana" w:hAnsi="Verdana" w:cs="Times New Roman"/>
          <w:color w:val="000000"/>
          <w:sz w:val="18"/>
          <w:szCs w:val="18"/>
          <w:lang w:val="en-US"/>
        </w:rPr>
      </w:pPr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>(a)within the area mentioned in paragraph (1)**, and</w:t>
      </w:r>
    </w:p>
    <w:p w:rsidR="008A27A2" w:rsidRPr="008A27A2" w:rsidRDefault="008A27A2" w:rsidP="009F2DFB">
      <w:pPr>
        <w:spacing w:after="0" w:line="276" w:lineRule="auto"/>
        <w:rPr>
          <w:rFonts w:ascii="Verdana" w:hAnsi="Verdana" w:cs="Times New Roman"/>
          <w:color w:val="000000"/>
          <w:sz w:val="18"/>
          <w:szCs w:val="18"/>
          <w:lang w:val="en-US"/>
        </w:rPr>
      </w:pPr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>(b)within relevant British fishery limits.</w:t>
      </w:r>
    </w:p>
    <w:p w:rsidR="008A27A2" w:rsidRPr="008A27A2" w:rsidRDefault="008A27A2" w:rsidP="009F2DFB">
      <w:pPr>
        <w:spacing w:after="0" w:line="276" w:lineRule="auto"/>
        <w:rPr>
          <w:rFonts w:ascii="Verdana" w:hAnsi="Verdana" w:cs="Times New Roman"/>
          <w:color w:val="000000"/>
          <w:sz w:val="18"/>
          <w:szCs w:val="18"/>
          <w:lang w:val="en-US"/>
        </w:rPr>
      </w:pPr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>In the law of Northern Ireland, the reference in this paragraph to article 4 includes a reference to article 6.</w:t>
      </w:r>
    </w:p>
    <w:p w:rsidR="008A27A2" w:rsidRPr="008A27A2" w:rsidRDefault="008A27A2" w:rsidP="009F2DFB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8A27A2" w:rsidRPr="008A27A2" w:rsidRDefault="008A27A2" w:rsidP="009F2DF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8A27A2">
        <w:rPr>
          <w:rFonts w:ascii="Verdana" w:hAnsi="Verdana"/>
          <w:sz w:val="18"/>
          <w:szCs w:val="18"/>
        </w:rPr>
        <w:t>(2) Subject to paragraph (3), articles 4 and 6 apply to any net carried in, or used by, any Scottish fishing boat when within any part of ICES IV (North Sea) or ICES VI (</w:t>
      </w:r>
      <w:proofErr w:type="spellStart"/>
      <w:r w:rsidRPr="008A27A2">
        <w:rPr>
          <w:rFonts w:ascii="Verdana" w:hAnsi="Verdana"/>
          <w:sz w:val="18"/>
          <w:szCs w:val="18"/>
        </w:rPr>
        <w:t>Rockall</w:t>
      </w:r>
      <w:proofErr w:type="spellEnd"/>
      <w:r w:rsidRPr="008A27A2">
        <w:rPr>
          <w:rFonts w:ascii="Verdana" w:hAnsi="Verdana"/>
          <w:sz w:val="18"/>
          <w:szCs w:val="18"/>
        </w:rPr>
        <w:t xml:space="preserve"> and West of Scotland) which is within relevant British fishery limits. </w:t>
      </w:r>
    </w:p>
    <w:p w:rsidR="008A27A2" w:rsidRPr="008A27A2" w:rsidRDefault="008A27A2" w:rsidP="009F2DFB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4E1E0D">
        <w:rPr>
          <w:rFonts w:ascii="Verdana" w:hAnsi="Verdana"/>
          <w:color w:val="FF0000"/>
          <w:sz w:val="18"/>
          <w:szCs w:val="18"/>
          <w:lang w:val="en-US"/>
        </w:rPr>
        <w:t xml:space="preserve">(3) </w:t>
      </w:r>
      <w:r w:rsidRPr="008A27A2">
        <w:rPr>
          <w:rFonts w:ascii="Verdana" w:hAnsi="Verdana"/>
          <w:sz w:val="18"/>
          <w:szCs w:val="18"/>
          <w:lang w:val="en-US"/>
        </w:rPr>
        <w:t>Articles 4 and 6 do not apply to any net that is—</w:t>
      </w:r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8A27A2">
        <w:rPr>
          <w:rFonts w:ascii="Verdana" w:hAnsi="Verdana"/>
          <w:sz w:val="18"/>
          <w:szCs w:val="18"/>
          <w:lang w:val="en-US"/>
        </w:rPr>
        <w:t xml:space="preserve">(a) carried in, or used by, </w:t>
      </w:r>
      <w:r w:rsidRPr="009F2DFB">
        <w:rPr>
          <w:rFonts w:ascii="Verdana" w:hAnsi="Verdana"/>
          <w:i/>
          <w:iCs/>
          <w:sz w:val="18"/>
          <w:szCs w:val="18"/>
          <w:lang w:val="en-US"/>
        </w:rPr>
        <w:t>a beam trawler;</w:t>
      </w:r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8A27A2">
        <w:rPr>
          <w:rFonts w:ascii="Verdana" w:hAnsi="Verdana"/>
          <w:sz w:val="18"/>
          <w:szCs w:val="18"/>
          <w:lang w:val="en-US"/>
        </w:rPr>
        <w:t>(b) carried properly lashed and stowed in such a way that it may not be readily used; or</w:t>
      </w:r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8A27A2">
        <w:rPr>
          <w:rFonts w:ascii="Verdana" w:hAnsi="Verdana"/>
          <w:sz w:val="18"/>
          <w:szCs w:val="18"/>
          <w:lang w:val="en-US"/>
        </w:rPr>
        <w:t>(c) carried in, or used by, a boat for the purpose of fishing for queen scallops.</w:t>
      </w:r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</w:p>
    <w:p w:rsidR="008A27A2" w:rsidRPr="008A27A2" w:rsidRDefault="008A27A2" w:rsidP="009F2DFB">
      <w:pPr>
        <w:spacing w:after="0" w:line="276" w:lineRule="auto"/>
        <w:rPr>
          <w:rFonts w:ascii="Verdana" w:hAnsi="Verdana"/>
          <w:b/>
          <w:bCs/>
          <w:sz w:val="18"/>
          <w:szCs w:val="18"/>
          <w:lang w:val="en-US"/>
        </w:rPr>
      </w:pPr>
      <w:r w:rsidRPr="008A27A2">
        <w:rPr>
          <w:rFonts w:ascii="Verdana" w:hAnsi="Verdana"/>
          <w:b/>
          <w:bCs/>
          <w:sz w:val="18"/>
          <w:szCs w:val="18"/>
          <w:lang w:val="en-US"/>
        </w:rPr>
        <w:t>Square mesh panels</w:t>
      </w:r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FB0434">
        <w:rPr>
          <w:rFonts w:ascii="Verdana" w:hAnsi="Verdana"/>
          <w:b/>
          <w:bCs/>
          <w:sz w:val="18"/>
          <w:szCs w:val="18"/>
          <w:lang w:val="en-US"/>
        </w:rPr>
        <w:t>4.</w:t>
      </w:r>
      <w:r w:rsidRPr="008A27A2">
        <w:rPr>
          <w:rFonts w:ascii="Verdana" w:hAnsi="Verdana"/>
          <w:sz w:val="18"/>
          <w:szCs w:val="18"/>
          <w:lang w:val="en-US"/>
        </w:rPr>
        <w:t xml:space="preserve"> Any net to which this article applies which has a mesh size in the range 70 to 119 </w:t>
      </w:r>
      <w:proofErr w:type="spellStart"/>
      <w:r w:rsidRPr="008A27A2">
        <w:rPr>
          <w:rFonts w:ascii="Verdana" w:hAnsi="Verdana"/>
          <w:sz w:val="18"/>
          <w:szCs w:val="18"/>
          <w:lang w:val="en-US"/>
        </w:rPr>
        <w:t>millimetres</w:t>
      </w:r>
      <w:proofErr w:type="spellEnd"/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8A27A2">
        <w:rPr>
          <w:rFonts w:ascii="Verdana" w:hAnsi="Verdana"/>
          <w:sz w:val="18"/>
          <w:szCs w:val="18"/>
          <w:lang w:val="en-US"/>
        </w:rPr>
        <w:t>shall have incorporated in it as part of the net a square mesh panel which —</w:t>
      </w:r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8A27A2">
        <w:rPr>
          <w:rFonts w:ascii="Verdana" w:hAnsi="Verdana"/>
          <w:sz w:val="18"/>
          <w:szCs w:val="18"/>
          <w:lang w:val="en-US"/>
        </w:rPr>
        <w:t xml:space="preserve">(a) has a mesh size of not less than 90 </w:t>
      </w:r>
      <w:proofErr w:type="spellStart"/>
      <w:r w:rsidRPr="008A27A2">
        <w:rPr>
          <w:rFonts w:ascii="Verdana" w:hAnsi="Verdana"/>
          <w:sz w:val="18"/>
          <w:szCs w:val="18"/>
          <w:lang w:val="en-US"/>
        </w:rPr>
        <w:t>millimetres</w:t>
      </w:r>
      <w:proofErr w:type="spellEnd"/>
      <w:r w:rsidRPr="008A27A2">
        <w:rPr>
          <w:rFonts w:ascii="Verdana" w:hAnsi="Verdana"/>
          <w:sz w:val="18"/>
          <w:szCs w:val="18"/>
          <w:lang w:val="en-US"/>
        </w:rPr>
        <w:t>, and</w:t>
      </w:r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8A27A2">
        <w:rPr>
          <w:rFonts w:ascii="Verdana" w:hAnsi="Verdana"/>
          <w:sz w:val="18"/>
          <w:szCs w:val="18"/>
          <w:lang w:val="en-US"/>
        </w:rPr>
        <w:t xml:space="preserve">(b) in its entirety is no more than 12 </w:t>
      </w:r>
      <w:proofErr w:type="spellStart"/>
      <w:r w:rsidRPr="008A27A2">
        <w:rPr>
          <w:rFonts w:ascii="Verdana" w:hAnsi="Verdana"/>
          <w:sz w:val="18"/>
          <w:szCs w:val="18"/>
          <w:lang w:val="en-US"/>
        </w:rPr>
        <w:t>metres</w:t>
      </w:r>
      <w:proofErr w:type="spellEnd"/>
      <w:r w:rsidRPr="008A27A2">
        <w:rPr>
          <w:rFonts w:ascii="Verdana" w:hAnsi="Verdana"/>
          <w:sz w:val="18"/>
          <w:szCs w:val="18"/>
          <w:lang w:val="en-US"/>
        </w:rPr>
        <w:t xml:space="preserve"> from the </w:t>
      </w:r>
      <w:proofErr w:type="spellStart"/>
      <w:r w:rsidRPr="008A27A2">
        <w:rPr>
          <w:rFonts w:ascii="Verdana" w:hAnsi="Verdana"/>
          <w:sz w:val="18"/>
          <w:szCs w:val="18"/>
          <w:lang w:val="en-US"/>
        </w:rPr>
        <w:t>codline</w:t>
      </w:r>
      <w:proofErr w:type="spellEnd"/>
      <w:r w:rsidRPr="008A27A2">
        <w:rPr>
          <w:rFonts w:ascii="Verdana" w:hAnsi="Verdana"/>
          <w:sz w:val="18"/>
          <w:szCs w:val="18"/>
          <w:lang w:val="en-US"/>
        </w:rPr>
        <w:t xml:space="preserve"> or, where the net is carried in</w:t>
      </w:r>
    </w:p>
    <w:p w:rsidR="008A27A2" w:rsidRPr="008A27A2" w:rsidRDefault="008A27A2" w:rsidP="009F2DFB">
      <w:pPr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8A27A2">
        <w:rPr>
          <w:rFonts w:ascii="Verdana" w:hAnsi="Verdana"/>
          <w:sz w:val="18"/>
          <w:szCs w:val="18"/>
          <w:lang w:val="en-US"/>
        </w:rPr>
        <w:t xml:space="preserve">or used by a boat for the purpose of fishing for Norway lobsters, no more than 18 </w:t>
      </w:r>
      <w:proofErr w:type="spellStart"/>
      <w:r w:rsidRPr="008A27A2">
        <w:rPr>
          <w:rFonts w:ascii="Verdana" w:hAnsi="Verdana"/>
          <w:sz w:val="18"/>
          <w:szCs w:val="18"/>
          <w:lang w:val="en-US"/>
        </w:rPr>
        <w:t>metres</w:t>
      </w:r>
      <w:proofErr w:type="spellEnd"/>
    </w:p>
    <w:p w:rsidR="008A27A2" w:rsidRPr="008A27A2" w:rsidRDefault="008A27A2" w:rsidP="009F2DFB">
      <w:pPr>
        <w:spacing w:after="0" w:line="276" w:lineRule="auto"/>
        <w:rPr>
          <w:rFonts w:ascii="Verdana" w:hAnsi="Verdana" w:cs="Times New Roman"/>
          <w:color w:val="000000"/>
          <w:sz w:val="18"/>
          <w:szCs w:val="18"/>
          <w:lang w:val="en-US"/>
        </w:rPr>
      </w:pPr>
      <w:r w:rsidRPr="008A27A2">
        <w:rPr>
          <w:rFonts w:ascii="Verdana" w:hAnsi="Verdana"/>
          <w:sz w:val="18"/>
          <w:szCs w:val="18"/>
          <w:lang w:val="en-US"/>
        </w:rPr>
        <w:t xml:space="preserve">from the </w:t>
      </w:r>
      <w:proofErr w:type="spellStart"/>
      <w:r w:rsidRPr="008A27A2">
        <w:rPr>
          <w:rFonts w:ascii="Verdana" w:hAnsi="Verdana"/>
          <w:sz w:val="18"/>
          <w:szCs w:val="18"/>
          <w:lang w:val="en-US"/>
        </w:rPr>
        <w:t>codline</w:t>
      </w:r>
      <w:proofErr w:type="spellEnd"/>
      <w:r w:rsidRPr="008A27A2">
        <w:rPr>
          <w:rFonts w:ascii="Verdana" w:hAnsi="Verdana"/>
          <w:sz w:val="18"/>
          <w:szCs w:val="18"/>
          <w:lang w:val="en-US"/>
        </w:rPr>
        <w:t>.</w:t>
      </w:r>
    </w:p>
    <w:p w:rsidR="008A27A2" w:rsidRDefault="008A27A2" w:rsidP="008A27A2">
      <w:pPr>
        <w:rPr>
          <w:rFonts w:ascii="Verdana" w:hAnsi="Verdana" w:cs="Times New Roman"/>
          <w:color w:val="000000"/>
          <w:sz w:val="18"/>
          <w:szCs w:val="18"/>
          <w:lang w:val="en-US"/>
        </w:rPr>
      </w:pPr>
    </w:p>
    <w:p w:rsidR="00932DCA" w:rsidRPr="008A27A2" w:rsidRDefault="00932DCA" w:rsidP="008A27A2">
      <w:pPr>
        <w:rPr>
          <w:rFonts w:ascii="Verdana" w:hAnsi="Verdana" w:cs="Times New Roman"/>
          <w:color w:val="000000"/>
          <w:sz w:val="18"/>
          <w:szCs w:val="18"/>
          <w:lang w:val="en-US"/>
        </w:rPr>
      </w:pPr>
      <w:r>
        <w:rPr>
          <w:rFonts w:ascii="Verdana" w:hAnsi="Verdana" w:cs="Times New Roman"/>
          <w:color w:val="000000"/>
          <w:sz w:val="18"/>
          <w:szCs w:val="18"/>
          <w:lang w:val="en-US"/>
        </w:rPr>
        <w:t>…</w:t>
      </w:r>
    </w:p>
    <w:p w:rsidR="008A27A2" w:rsidRPr="008A27A2" w:rsidRDefault="008A27A2" w:rsidP="008A27A2">
      <w:pPr>
        <w:rPr>
          <w:rFonts w:ascii="Verdana" w:hAnsi="Verdana" w:cs="Times New Roman"/>
          <w:color w:val="000000"/>
          <w:sz w:val="18"/>
          <w:szCs w:val="18"/>
          <w:lang w:val="en-US"/>
        </w:rPr>
      </w:pPr>
    </w:p>
    <w:p w:rsidR="008A27A2" w:rsidRPr="008A27A2" w:rsidRDefault="008A27A2" w:rsidP="008A27A2">
      <w:pPr>
        <w:rPr>
          <w:rFonts w:ascii="Verdana" w:hAnsi="Verdana" w:cs="Times New Roman"/>
          <w:color w:val="000000"/>
          <w:sz w:val="18"/>
          <w:szCs w:val="18"/>
          <w:lang w:val="en-US"/>
        </w:rPr>
      </w:pPr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>---------------</w:t>
      </w:r>
    </w:p>
    <w:p w:rsidR="00FC3CB6" w:rsidRPr="008A27A2" w:rsidRDefault="008A27A2" w:rsidP="008A27A2">
      <w:pPr>
        <w:rPr>
          <w:rFonts w:ascii="Verdana" w:hAnsi="Verdana"/>
          <w:sz w:val="18"/>
          <w:szCs w:val="18"/>
          <w:lang w:val="en-US"/>
        </w:rPr>
      </w:pPr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 xml:space="preserve">**(1)  ICES </w:t>
      </w:r>
      <w:proofErr w:type="spellStart"/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>IIa</w:t>
      </w:r>
      <w:proofErr w:type="spellEnd"/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 xml:space="preserve"> south of 64° north latitude and east of 4° west longitude (Norwegian Sea), ICES IV (North Sea) or ICES VI (</w:t>
      </w:r>
      <w:proofErr w:type="spellStart"/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>Rockall</w:t>
      </w:r>
      <w:proofErr w:type="spellEnd"/>
      <w:r w:rsidRPr="008A27A2">
        <w:rPr>
          <w:rFonts w:ascii="Verdana" w:hAnsi="Verdana" w:cs="Times New Roman"/>
          <w:color w:val="000000"/>
          <w:sz w:val="18"/>
          <w:szCs w:val="18"/>
          <w:lang w:val="en-US"/>
        </w:rPr>
        <w:t xml:space="preserve"> and West of Scotland) </w:t>
      </w:r>
      <w:r w:rsidRPr="008A27A2">
        <w:rPr>
          <w:rFonts w:ascii="Verdana" w:hAnsi="Verdana"/>
          <w:sz w:val="18"/>
          <w:szCs w:val="18"/>
          <w:lang w:val="en-US"/>
        </w:rPr>
        <w:t>(3) Articles 4 and 6 do not apply to any net that is—</w:t>
      </w:r>
    </w:p>
    <w:sectPr w:rsidR="00FC3CB6" w:rsidRPr="008A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548B6F"/>
    <w:multiLevelType w:val="hybridMultilevel"/>
    <w:tmpl w:val="1A647D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584A8"/>
    <w:multiLevelType w:val="hybridMultilevel"/>
    <w:tmpl w:val="C7D5AC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EAC0B1"/>
    <w:multiLevelType w:val="hybridMultilevel"/>
    <w:tmpl w:val="A9D734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120306"/>
    <w:multiLevelType w:val="hybridMultilevel"/>
    <w:tmpl w:val="711E27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CB1503"/>
    <w:multiLevelType w:val="hybridMultilevel"/>
    <w:tmpl w:val="69A9D6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2"/>
    <w:rsid w:val="004213FB"/>
    <w:rsid w:val="004E1E0D"/>
    <w:rsid w:val="008A27A2"/>
    <w:rsid w:val="00932DCA"/>
    <w:rsid w:val="009F2DFB"/>
    <w:rsid w:val="00FB0434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5594"/>
  <w15:chartTrackingRefBased/>
  <w15:docId w15:val="{8A269DE7-CA95-484F-A8E3-4EE58C1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Doddema, A.P. (Mandy)</dc:creator>
  <cp:keywords/>
  <dc:description/>
  <cp:lastModifiedBy>Doddema, A.P. (Mandy)</cp:lastModifiedBy>
  <cp:revision>5</cp:revision>
  <dcterms:created xsi:type="dcterms:W3CDTF">2021-01-05T17:04:00Z</dcterms:created>
  <dcterms:modified xsi:type="dcterms:W3CDTF">2021-01-05T17:28:00Z</dcterms:modified>
</cp:coreProperties>
</file>